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2589" w:rsidRDefault="001971AC" w:rsidP="00012589">
      <w:pPr>
        <w:rPr>
          <w:b/>
          <w:sz w:val="28"/>
          <w:szCs w:val="28"/>
        </w:rPr>
      </w:pPr>
      <w:r w:rsidRPr="00012589">
        <w:rPr>
          <w:b/>
          <w:sz w:val="28"/>
          <w:szCs w:val="28"/>
        </w:rPr>
        <w:t>Un Violino per Tartini</w:t>
      </w:r>
      <w:r w:rsidR="00012589">
        <w:rPr>
          <w:b/>
          <w:sz w:val="28"/>
          <w:szCs w:val="28"/>
        </w:rPr>
        <w:br/>
        <w:t>T</w:t>
      </w:r>
      <w:r w:rsidRPr="00012589">
        <w:rPr>
          <w:b/>
          <w:sz w:val="28"/>
          <w:szCs w:val="28"/>
        </w:rPr>
        <w:t xml:space="preserve">re liutai ed un archettaio </w:t>
      </w:r>
      <w:r w:rsidR="00012589">
        <w:rPr>
          <w:b/>
          <w:sz w:val="28"/>
          <w:szCs w:val="28"/>
        </w:rPr>
        <w:t>alla ricerca dei suoi strumenti</w:t>
      </w:r>
    </w:p>
    <w:p w:rsidR="00000000" w:rsidRDefault="001971AC">
      <w:r>
        <w:rPr>
          <w:sz w:val="21"/>
          <w:szCs w:val="21"/>
        </w:rPr>
        <w:t>8 Giugno 2023 ore 18:00</w:t>
      </w:r>
      <w:r w:rsidR="00012589">
        <w:rPr>
          <w:sz w:val="21"/>
          <w:szCs w:val="21"/>
        </w:rPr>
        <w:br/>
      </w:r>
      <w:r>
        <w:rPr>
          <w:sz w:val="21"/>
          <w:szCs w:val="21"/>
        </w:rPr>
        <w:t>Padova, Basilica del Santo., Sala “Studio teologico”</w:t>
      </w:r>
    </w:p>
    <w:p w:rsidR="00000000" w:rsidRDefault="001971AC"/>
    <w:p w:rsidR="00000000" w:rsidRDefault="001971AC">
      <w:r>
        <w:rPr>
          <w:b/>
          <w:bCs/>
          <w:sz w:val="21"/>
          <w:szCs w:val="21"/>
        </w:rPr>
        <w:t>CURRICUL</w:t>
      </w:r>
      <w:r w:rsidR="00012589">
        <w:rPr>
          <w:b/>
          <w:bCs/>
          <w:sz w:val="21"/>
          <w:szCs w:val="21"/>
        </w:rPr>
        <w:t>A</w:t>
      </w:r>
    </w:p>
    <w:p w:rsidR="00000000" w:rsidRDefault="001971AC"/>
    <w:p w:rsidR="00000000" w:rsidRDefault="001971AC">
      <w:pPr>
        <w:jc w:val="center"/>
      </w:pPr>
      <w:r>
        <w:rPr>
          <w:rStyle w:val="Enfasigrassetto"/>
          <w:color w:val="000000"/>
          <w:sz w:val="21"/>
          <w:szCs w:val="21"/>
        </w:rPr>
        <w:t>Federico Guglielmo</w:t>
      </w:r>
    </w:p>
    <w:p w:rsidR="00000000" w:rsidRDefault="001971AC">
      <w:r>
        <w:rPr>
          <w:color w:val="000000"/>
          <w:sz w:val="21"/>
          <w:szCs w:val="21"/>
        </w:rPr>
        <w:t>ha ricevuto numerosi premi in importanti concorsi di musica da camera e violino (Viotti, Loren</w:t>
      </w:r>
      <w:r>
        <w:rPr>
          <w:color w:val="000000"/>
          <w:sz w:val="21"/>
          <w:szCs w:val="21"/>
        </w:rPr>
        <w:t>zi, Vittorio Veneto, Mozart, Parigi, Londra) ma la sua carriera internazionale ha iniziato a prendere slancio nel 1991 con il primo premio al Concorso Internazionale Vittorio Gui in Firenze.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Da allora si è esibito in alcune delle più famose sale da concert</w:t>
      </w:r>
      <w:r>
        <w:rPr>
          <w:color w:val="000000"/>
          <w:sz w:val="21"/>
          <w:szCs w:val="21"/>
        </w:rPr>
        <w:t>o del mondo tra cui Vienna (Grosse Musikvereinsaal), Londra (Wigmore Hall), Roma (Accademia di Santa Cecilia), Milano (Società del Quartetto), Geneve (Victoria Hall), Madrid ( Auditorio Nacional), Lisbona (Grande Auditorio Gulbenkian), Monaco (Herkulessaal</w:t>
      </w:r>
      <w:r>
        <w:rPr>
          <w:color w:val="000000"/>
          <w:sz w:val="21"/>
          <w:szCs w:val="21"/>
        </w:rPr>
        <w:t>), Colonia (Philarmonie), New York (I.Stern Auditorium della Carnegie Hall), Boston (Jordan Hall), Tokyo (Suntory Hall, Opera City, Sumida Triphony e Bunka Kaikan), Osaka (Symphony e Izumi Hall), Pechino (National Center for the Performing Arts), Taipei (N</w:t>
      </w:r>
      <w:r>
        <w:rPr>
          <w:color w:val="000000"/>
          <w:sz w:val="21"/>
          <w:szCs w:val="21"/>
        </w:rPr>
        <w:t>ational Concert Hall), Seoul (Arts Center), San Paolo (Teatro Cultura Artistica), Buenos Aires (Teatro Colon), Sydney (City Recital Hall), Melbourne (Hamer Hall e E.Murdoch Recital Center). Come solista e direttore d'orchestra Guglielmo si è guadagnato una</w:t>
      </w:r>
      <w:r>
        <w:rPr>
          <w:color w:val="000000"/>
          <w:sz w:val="21"/>
          <w:szCs w:val="21"/>
        </w:rPr>
        <w:t xml:space="preserve"> fama crescente portando il suo stile e la sua consapevolezza storica insieme ad un approccio energico e innovativo sia agli ensemble da camera di strumenti d'epoca che alle moderne orchestre sinfoniche.Ha diretto e concertato dal violino celeberrimi ensem</w:t>
      </w:r>
      <w:r>
        <w:rPr>
          <w:color w:val="000000"/>
          <w:sz w:val="21"/>
          <w:szCs w:val="21"/>
        </w:rPr>
        <w:t>ble barocchi come The Academy of Ancient Music (Londra), The Handel &amp; Haydn Society (Boston), Orquestra Barroca Casa da Musica (Porto), Il Pomo d'Oro, The Australian Brandenburg Orchestra e orchestre moderne come Maggio Musicale Musicale Fiorentino (Firenz</w:t>
      </w:r>
      <w:r>
        <w:rPr>
          <w:color w:val="000000"/>
          <w:sz w:val="21"/>
          <w:szCs w:val="21"/>
        </w:rPr>
        <w:t>e), Teatro Massimo (Palermo), New Japan Philarmonic (Tokyo), I Pomeriggi Musicali (Milano), Opera Ballet Vlandereen (Anversa), Osaka Symphony Orchestra, Teatro Verdi (Trieste), Orquestra Filarmonica de Gran Canaria (Las Palmas) e molti altri. La sua regist</w:t>
      </w:r>
      <w:r>
        <w:rPr>
          <w:color w:val="000000"/>
          <w:sz w:val="21"/>
          <w:szCs w:val="21"/>
        </w:rPr>
        <w:t>razione come direttore "Handel/Water Music &amp; Royal Fireworks" (Cpo) è stata premiata riconosciuta First Choice (BBC Music Magazine). Come solista particolarmente degne di nota sono state le sue esibizioni con G.Leonhardt (concerti per violino di Bach), S.K</w:t>
      </w:r>
      <w:r>
        <w:rPr>
          <w:color w:val="000000"/>
          <w:sz w:val="21"/>
          <w:szCs w:val="21"/>
        </w:rPr>
        <w:t>uijken (concerti per violino italiani), C.Hogwood (concerto per violino di Beethoven) e R.Goebel (concerto per violino di F. Clement, prima esecuzione in tempi moderni). Vincitore nel 1997 del Premio Internazionale Antonio Vivaldi per la sua prima registra</w:t>
      </w:r>
      <w:r>
        <w:rPr>
          <w:color w:val="000000"/>
          <w:sz w:val="21"/>
          <w:szCs w:val="21"/>
        </w:rPr>
        <w:t>zione da solista di Vivaldi Guglielmo ha ricevuto un Diapason d'or per il cd “Vivaldi/Concertos for Anna Maria” (Cpo, 2005) mentre la sua ultima registrazione per “Vivaldi/Lost Anna Maria Concertos” (Glossa, 2020) con F.M.Sardelli è stata ampiamente acclam</w:t>
      </w:r>
      <w:r>
        <w:rPr>
          <w:color w:val="000000"/>
          <w:sz w:val="21"/>
          <w:szCs w:val="21"/>
        </w:rPr>
        <w:t>ata.</w:t>
      </w:r>
      <w:r>
        <w:rPr>
          <w:sz w:val="21"/>
          <w:szCs w:val="21"/>
        </w:rPr>
        <w:t xml:space="preserve"> </w:t>
      </w:r>
    </w:p>
    <w:p w:rsidR="00000000" w:rsidRDefault="001971AC">
      <w:pPr>
        <w:jc w:val="center"/>
      </w:pPr>
      <w:r>
        <w:rPr>
          <w:b/>
          <w:bCs/>
          <w:sz w:val="21"/>
          <w:szCs w:val="21"/>
        </w:rPr>
        <w:t>Francesco Galligioni</w:t>
      </w:r>
    </w:p>
    <w:p w:rsidR="00000000" w:rsidRDefault="001971AC">
      <w:r>
        <w:rPr>
          <w:sz w:val="21"/>
          <w:szCs w:val="21"/>
        </w:rPr>
        <w:t>Diplomato in violoncello al Conservatorio “C. Pollini” di Padova ha successivamente proseguito gli studi con il M° Franco Maggio Ormezowski presso l’Accademia Nazionale di S. Cecilia in Roma. La passione per la musica antica lo h</w:t>
      </w:r>
      <w:r>
        <w:rPr>
          <w:sz w:val="21"/>
          <w:szCs w:val="21"/>
        </w:rPr>
        <w:t>a naturalmente portato anche allo studio della viola da gamba con il M° Paolo Biordi presso il conservatorio di Firenze. Membro fondatore dell’Accademia di S. Rocco e successivamente di Venice Baroque Orchestra, ha effettuato registrazioni discografiche pe</w:t>
      </w:r>
      <w:r>
        <w:rPr>
          <w:sz w:val="21"/>
          <w:szCs w:val="21"/>
        </w:rPr>
        <w:t>r ARCHIV, Deutsche Grammophon, Decca, CPO, Arts, ORF, Chandos, Brilliant, Naxos e Sony Classical; con quest’ultima sia in qualità di primo violoncello-solista di VeniceBaroqueOrchstra che in formazioni cameristiche (trii con G. Carmignola e L. Kirtzof, son</w:t>
      </w:r>
      <w:r>
        <w:rPr>
          <w:sz w:val="21"/>
          <w:szCs w:val="21"/>
        </w:rPr>
        <w:t xml:space="preserve">ate con A. Bylsma). </w:t>
      </w:r>
      <w:r>
        <w:rPr>
          <w:sz w:val="21"/>
          <w:szCs w:val="21"/>
        </w:rPr>
        <w:t xml:space="preserve">Ha collaborato in qualità di prima parte, tra gli altri, con Tafelmusik (Toronto), Sonatori della Gioiosa Marca, </w:t>
      </w:r>
      <w:r>
        <w:rPr>
          <w:sz w:val="21"/>
          <w:szCs w:val="21"/>
        </w:rPr>
        <w:t xml:space="preserve">Les </w:t>
      </w:r>
      <w:r>
        <w:rPr>
          <w:rStyle w:val="Enfasicorsivo"/>
          <w:i w:val="0"/>
          <w:sz w:val="21"/>
          <w:szCs w:val="21"/>
        </w:rPr>
        <w:t>Musiciens du Prince</w:t>
      </w:r>
      <w:r>
        <w:rPr>
          <w:sz w:val="21"/>
          <w:szCs w:val="21"/>
        </w:rPr>
        <w:t>-</w:t>
      </w:r>
      <w:r>
        <w:rPr>
          <w:rStyle w:val="Enfasicorsivo"/>
          <w:i w:val="0"/>
          <w:sz w:val="21"/>
          <w:szCs w:val="21"/>
        </w:rPr>
        <w:t>Monaco</w:t>
      </w:r>
      <w:r>
        <w:rPr>
          <w:sz w:val="21"/>
          <w:szCs w:val="21"/>
        </w:rPr>
        <w:t>, Zefiro</w:t>
      </w:r>
      <w:r>
        <w:rPr>
          <w:rStyle w:val="Enfasigrassetto"/>
          <w:b w:val="0"/>
          <w:bCs w:val="0"/>
          <w:sz w:val="21"/>
          <w:szCs w:val="21"/>
        </w:rPr>
        <w:t xml:space="preserve">, I Barocchisti, L'Arte dell’Arco. </w:t>
      </w:r>
      <w:r>
        <w:rPr>
          <w:sz w:val="21"/>
          <w:szCs w:val="21"/>
        </w:rPr>
        <w:t xml:space="preserve">Per </w:t>
      </w:r>
      <w:r>
        <w:rPr>
          <w:sz w:val="21"/>
          <w:szCs w:val="21"/>
        </w:rPr>
        <w:lastRenderedPageBreak/>
        <w:t>l'etichetta olandese “Brilliant Classics” ha r</w:t>
      </w:r>
      <w:r>
        <w:rPr>
          <w:sz w:val="21"/>
          <w:szCs w:val="21"/>
        </w:rPr>
        <w:t>egistrato l'integrale dei concerti per violoncello di A. Vivaldi (4 CD), le sei sonate a stampa dello stesso autore, i capricci per violoncello solo di Joseph-Marie-Clément dall'Abaco, l'integrale (5CD) delle sonate a stampa di Salvatore Lanzetti,    le 12</w:t>
      </w:r>
      <w:r>
        <w:rPr>
          <w:sz w:val="21"/>
          <w:szCs w:val="21"/>
        </w:rPr>
        <w:t xml:space="preserve"> sonate di Giovanni Benedetto Platti e la sonata per violoncello e fortepiano di Bonifazio Asioli. Per l'etichetta Fra Bernardo le Suite di J.S. Bach per violoncello solo e di prossima pubblicazione con “Da Vinci Classics” delle sonate dello stesso autore </w:t>
      </w:r>
      <w:r>
        <w:rPr>
          <w:sz w:val="21"/>
          <w:szCs w:val="21"/>
        </w:rPr>
        <w:t>per viola da gamba e clavicembalo. Insegna presso il Conservatorio “Pedrollo” di Vicenza.</w:t>
      </w:r>
    </w:p>
    <w:p w:rsidR="00000000" w:rsidRDefault="001971AC">
      <w:pPr>
        <w:rPr>
          <w:sz w:val="21"/>
          <w:szCs w:val="21"/>
        </w:rPr>
      </w:pPr>
    </w:p>
    <w:p w:rsidR="00000000" w:rsidRDefault="001971AC">
      <w:pPr>
        <w:jc w:val="center"/>
      </w:pPr>
      <w:r>
        <w:rPr>
          <w:b/>
          <w:bCs/>
          <w:sz w:val="21"/>
          <w:szCs w:val="21"/>
        </w:rPr>
        <w:t>Alberto Cassutti</w:t>
      </w:r>
    </w:p>
    <w:p w:rsidR="00000000" w:rsidRDefault="001971AC">
      <w:pPr>
        <w:rPr>
          <w:sz w:val="21"/>
          <w:szCs w:val="21"/>
        </w:rPr>
      </w:pPr>
    </w:p>
    <w:p w:rsidR="00000000" w:rsidRDefault="001971AC">
      <w:r>
        <w:rPr>
          <w:sz w:val="21"/>
          <w:szCs w:val="21"/>
        </w:rPr>
        <w:t>Liutaio padovano, formatosi tra scuola e bottega, tra Parma e Padova. Ha importanti esperienze formative e professionali tra Inghilterra ed Europa.</w:t>
      </w:r>
      <w:r>
        <w:rPr>
          <w:sz w:val="21"/>
          <w:szCs w:val="21"/>
        </w:rPr>
        <w:t xml:space="preserve"> Particolarmente interessato al restauro e alla conservazione degli strumenti antichi ne è diventato apprezzato consulente, accanto all'impegno della produzione di strumenti contemporanei.</w:t>
      </w:r>
    </w:p>
    <w:p w:rsidR="00000000" w:rsidRDefault="005367D0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inline distT="0" distB="0" distL="0" distR="0">
            <wp:extent cx="2514600" cy="1628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71AC">
      <w:pPr>
        <w:rPr>
          <w:sz w:val="21"/>
          <w:szCs w:val="21"/>
        </w:rPr>
      </w:pPr>
    </w:p>
    <w:p w:rsidR="00000000" w:rsidRDefault="001971AC">
      <w:pPr>
        <w:rPr>
          <w:sz w:val="21"/>
          <w:szCs w:val="21"/>
        </w:rPr>
      </w:pPr>
    </w:p>
    <w:p w:rsidR="00000000" w:rsidRDefault="001971AC">
      <w:pPr>
        <w:jc w:val="center"/>
      </w:pPr>
      <w:r>
        <w:rPr>
          <w:b/>
          <w:bCs/>
          <w:sz w:val="21"/>
          <w:szCs w:val="21"/>
        </w:rPr>
        <w:t>Francesco Piasentini</w:t>
      </w:r>
    </w:p>
    <w:p w:rsidR="00000000" w:rsidRDefault="001971AC">
      <w:pPr>
        <w:jc w:val="center"/>
        <w:rPr>
          <w:b/>
          <w:bCs/>
          <w:sz w:val="21"/>
          <w:szCs w:val="21"/>
        </w:rPr>
      </w:pPr>
    </w:p>
    <w:p w:rsidR="00000000" w:rsidRDefault="001971AC">
      <w:r>
        <w:rPr>
          <w:sz w:val="21"/>
          <w:szCs w:val="21"/>
        </w:rPr>
        <w:t>Ingegnere e liutaio padovano,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z w:val="21"/>
          <w:szCs w:val="21"/>
        </w:rPr>
        <w:t>ormatosi a</w:t>
      </w:r>
      <w:r>
        <w:rPr>
          <w:sz w:val="21"/>
          <w:szCs w:val="21"/>
        </w:rPr>
        <w:t xml:space="preserve">lla Scuola Internazionale di Liuteria di Cremona. </w:t>
      </w:r>
      <w:r>
        <w:rPr>
          <w:sz w:val="21"/>
          <w:szCs w:val="21"/>
        </w:rPr>
        <w:t>Ha all’attivo  collaborazioni in progetti di ricerca in Italia ed all’estero, sull’acustica degli strumenti ad arco. S</w:t>
      </w:r>
      <w:r>
        <w:rPr>
          <w:sz w:val="21"/>
          <w:szCs w:val="21"/>
        </w:rPr>
        <w:t>pecializzato nel</w:t>
      </w:r>
      <w:r>
        <w:rPr>
          <w:sz w:val="21"/>
          <w:szCs w:val="21"/>
        </w:rPr>
        <w:t>la costruzione di strumenti moderni ispirati ai grandi maestri del 700 i</w:t>
      </w:r>
      <w:r>
        <w:rPr>
          <w:sz w:val="21"/>
          <w:szCs w:val="21"/>
        </w:rPr>
        <w:t>taliano</w:t>
      </w:r>
      <w:r>
        <w:rPr>
          <w:sz w:val="21"/>
          <w:szCs w:val="21"/>
        </w:rPr>
        <w:t xml:space="preserve">, è </w:t>
      </w:r>
      <w:r>
        <w:rPr>
          <w:sz w:val="21"/>
          <w:szCs w:val="21"/>
        </w:rPr>
        <w:t>anche consulente</w:t>
      </w:r>
      <w:r>
        <w:rPr>
          <w:sz w:val="21"/>
          <w:szCs w:val="21"/>
        </w:rPr>
        <w:t xml:space="preserve"> per le indagini </w:t>
      </w:r>
      <w:r>
        <w:rPr>
          <w:sz w:val="21"/>
          <w:szCs w:val="21"/>
        </w:rPr>
        <w:t xml:space="preserve">microtomografiche </w:t>
      </w:r>
      <w:r>
        <w:rPr>
          <w:sz w:val="21"/>
          <w:szCs w:val="21"/>
        </w:rPr>
        <w:t>eseguite sugli strumenti ad arco</w:t>
      </w:r>
      <w:r>
        <w:rPr>
          <w:sz w:val="21"/>
          <w:szCs w:val="21"/>
        </w:rPr>
        <w:t xml:space="preserve">. </w:t>
      </w:r>
    </w:p>
    <w:p w:rsidR="00000000" w:rsidRDefault="005367D0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inline distT="0" distB="0" distL="0" distR="0">
            <wp:extent cx="2514600" cy="1676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71AC">
      <w:pPr>
        <w:rPr>
          <w:sz w:val="21"/>
          <w:szCs w:val="21"/>
        </w:rPr>
      </w:pPr>
    </w:p>
    <w:p w:rsidR="00000000" w:rsidRDefault="001971AC">
      <w:pPr>
        <w:rPr>
          <w:sz w:val="21"/>
          <w:szCs w:val="21"/>
        </w:rPr>
      </w:pPr>
    </w:p>
    <w:p w:rsidR="00000000" w:rsidRDefault="001971AC">
      <w:pPr>
        <w:jc w:val="center"/>
      </w:pPr>
      <w:r>
        <w:rPr>
          <w:rStyle w:val="jsgrdq"/>
          <w:b/>
          <w:bCs/>
          <w:sz w:val="21"/>
          <w:szCs w:val="21"/>
        </w:rPr>
        <w:t>Damien Sainmont</w:t>
      </w:r>
    </w:p>
    <w:p w:rsidR="00000000" w:rsidRDefault="001971AC"/>
    <w:p w:rsidR="00000000" w:rsidRDefault="001971AC">
      <w:r>
        <w:rPr>
          <w:sz w:val="21"/>
          <w:szCs w:val="21"/>
        </w:rPr>
        <w:t>Liutaio francese di casa a Losanna, è stato precoce suonatore di viola, fin da bambino. Si è poi naturalmente appassionato e formato nella</w:t>
      </w:r>
      <w:r>
        <w:rPr>
          <w:sz w:val="21"/>
          <w:szCs w:val="21"/>
        </w:rPr>
        <w:t xml:space="preserve"> liuteria con diverse esperienze professionali europee. Abile restauratore, collabora a progetti di costruzione e restauro internazionali. Apprezza e valorizza particolarmente la collaborazione tra colleghi.</w:t>
      </w:r>
    </w:p>
    <w:p w:rsidR="00000000" w:rsidRDefault="005367D0">
      <w:pPr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inline distT="0" distB="0" distL="0" distR="0">
            <wp:extent cx="2562225" cy="17049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971AC">
      <w:pPr>
        <w:rPr>
          <w:sz w:val="21"/>
          <w:szCs w:val="21"/>
        </w:rPr>
      </w:pPr>
    </w:p>
    <w:p w:rsidR="001971AC" w:rsidRDefault="001971AC">
      <w:pPr>
        <w:rPr>
          <w:sz w:val="20"/>
          <w:szCs w:val="20"/>
        </w:rPr>
      </w:pPr>
    </w:p>
    <w:sectPr w:rsidR="001971AC">
      <w:footerReference w:type="default" r:id="rId10"/>
      <w:footerReference w:type="first" r:id="rId11"/>
      <w:pgSz w:w="11906" w:h="16838"/>
      <w:pgMar w:top="567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AC" w:rsidRDefault="001971AC">
      <w:pPr>
        <w:spacing w:after="0" w:line="240" w:lineRule="auto"/>
      </w:pPr>
      <w:r>
        <w:separator/>
      </w:r>
    </w:p>
  </w:endnote>
  <w:endnote w:type="continuationSeparator" w:id="0">
    <w:p w:rsidR="001971AC" w:rsidRDefault="001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1AC">
    <w:pPr>
      <w:pStyle w:val="Pidipagina"/>
      <w:jc w:val="right"/>
      <w:rPr>
        <w:rFonts w:ascii="Cambria" w:eastAsia="Times New Roman" w:hAnsi="Cambria" w:cs="Cambria"/>
      </w:rPr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FE07F8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FE07F8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000000" w:rsidRDefault="001971AC">
    <w:pPr>
      <w:rPr>
        <w:rFonts w:ascii="Cambria" w:eastAsia="Times New Roman" w:hAnsi="Cambria" w:cs="Cambria"/>
      </w:rPr>
    </w:pPr>
  </w:p>
  <w:p w:rsidR="00000000" w:rsidRDefault="001971AC">
    <w:pPr>
      <w:pStyle w:val="Pidipagina"/>
      <w:rPr>
        <w:rFonts w:ascii="Cambria" w:eastAsia="Times New Roman" w:hAnsi="Cambria" w:cs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71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AC" w:rsidRDefault="001971AC">
      <w:pPr>
        <w:spacing w:after="0" w:line="240" w:lineRule="auto"/>
      </w:pPr>
      <w:r>
        <w:separator/>
      </w:r>
    </w:p>
  </w:footnote>
  <w:footnote w:type="continuationSeparator" w:id="0">
    <w:p w:rsidR="001971AC" w:rsidRDefault="0019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589"/>
    <w:rsid w:val="00012589"/>
    <w:rsid w:val="001971AC"/>
    <w:rsid w:val="005367D0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sz w:val="22"/>
      <w:szCs w:val="22"/>
    </w:rPr>
  </w:style>
  <w:style w:type="character" w:customStyle="1" w:styleId="PidipaginaCarattere">
    <w:name w:val="Piè di pagina Carattere"/>
    <w:basedOn w:val="Carpredefinitoparagrafo1"/>
    <w:rPr>
      <w:sz w:val="22"/>
      <w:szCs w:val="22"/>
    </w:rPr>
  </w:style>
  <w:style w:type="character" w:customStyle="1" w:styleId="PreformattatoHTMLCarattere">
    <w:name w:val="Preformattato HTML Carattere"/>
    <w:basedOn w:val="Carpredefinitoparagrafo1"/>
    <w:rPr>
      <w:rFonts w:ascii="Courier New" w:eastAsia="Times New Roman" w:hAnsi="Courier New" w:cs="Courier New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</w:rPr>
  </w:style>
  <w:style w:type="character" w:customStyle="1" w:styleId="DefaultParagraphFont">
    <w:name w:val="Default Paragraph Font"/>
  </w:style>
  <w:style w:type="character" w:customStyle="1" w:styleId="jsgrdq">
    <w:name w:val="jsgrdq"/>
    <w:basedOn w:val="DefaultParagraphFont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edefinito">
    <w:name w:val="Predefinito"/>
    <w:pPr>
      <w:widowControl w:val="0"/>
      <w:suppressAutoHyphens/>
    </w:pPr>
    <w:rPr>
      <w:rFonts w:cs="Segoe UI"/>
      <w:sz w:val="24"/>
      <w:szCs w:val="24"/>
      <w:lang w:eastAsia="hi-IN" w:bidi="hi-IN"/>
    </w:rPr>
  </w:style>
  <w:style w:type="paragraph" w:customStyle="1" w:styleId="Corpotesto">
    <w:name w:val="Corpo testo"/>
    <w:basedOn w:val="Predefinito"/>
    <w:pPr>
      <w:spacing w:line="360" w:lineRule="auto"/>
      <w:jc w:val="both"/>
    </w:pPr>
    <w:rPr>
      <w:lang w:eastAsia="zh-CN"/>
    </w:rPr>
  </w:style>
  <w:style w:type="paragraph" w:customStyle="1" w:styleId="04xlpa">
    <w:name w:val="_04xlpa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2018-04-10T11:49:00Z</cp:lastPrinted>
  <dcterms:created xsi:type="dcterms:W3CDTF">2023-05-31T11:42:00Z</dcterms:created>
  <dcterms:modified xsi:type="dcterms:W3CDTF">2023-05-31T11:42:00Z</dcterms:modified>
</cp:coreProperties>
</file>